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E2FF0">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eastAsia="黑体"/>
          <w:szCs w:val="32"/>
        </w:rPr>
      </w:pPr>
      <w:bookmarkStart w:id="0" w:name="_GoBack"/>
      <w:bookmarkEnd w:id="0"/>
      <w:r>
        <w:rPr>
          <w:rFonts w:hint="eastAsia" w:ascii="黑体" w:hAnsi="黑体" w:eastAsia="黑体" w:cs="黑体"/>
          <w:szCs w:val="32"/>
        </w:rPr>
        <w:t>附件</w:t>
      </w:r>
      <w:r>
        <w:rPr>
          <w:rFonts w:hint="eastAsia" w:eastAsia="黑体"/>
          <w:szCs w:val="32"/>
        </w:rPr>
        <w:t>3</w:t>
      </w:r>
    </w:p>
    <w:p w14:paraId="24A041BB">
      <w:pPr>
        <w:keepNext w:val="0"/>
        <w:keepLines w:val="0"/>
        <w:pageBreakBefore w:val="0"/>
        <w:widowControl w:val="0"/>
        <w:kinsoku/>
        <w:wordWrap/>
        <w:overflowPunct/>
        <w:topLinePunct w:val="0"/>
        <w:autoSpaceDE/>
        <w:autoSpaceDN/>
        <w:bidi w:val="0"/>
        <w:adjustRightInd/>
        <w:spacing w:line="580" w:lineRule="exact"/>
        <w:jc w:val="center"/>
        <w:textAlignment w:val="auto"/>
        <w:rPr>
          <w:rFonts w:ascii="方正小标宋简体" w:hAnsi="方正小标宋简体" w:eastAsia="方正小标宋简体" w:cs="方正小标宋简体"/>
          <w:color w:val="000000"/>
          <w:kern w:val="0"/>
          <w:sz w:val="44"/>
          <w:szCs w:val="44"/>
          <w:lang w:bidi="ar"/>
        </w:rPr>
      </w:pPr>
    </w:p>
    <w:p w14:paraId="05219C86">
      <w:pPr>
        <w:keepNext w:val="0"/>
        <w:keepLines w:val="0"/>
        <w:pageBreakBefore w:val="0"/>
        <w:widowControl w:val="0"/>
        <w:kinsoku/>
        <w:wordWrap/>
        <w:overflowPunct/>
        <w:topLinePunct w:val="0"/>
        <w:autoSpaceDE/>
        <w:autoSpaceDN/>
        <w:bidi w:val="0"/>
        <w:adjustRightInd/>
        <w:spacing w:line="580" w:lineRule="exact"/>
        <w:jc w:val="center"/>
        <w:textAlignment w:val="auto"/>
        <w:rPr>
          <w:rFonts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全国大学生职业规划大赛</w:t>
      </w:r>
    </w:p>
    <w:p w14:paraId="5F789CC0">
      <w:pPr>
        <w:keepNext w:val="0"/>
        <w:keepLines w:val="0"/>
        <w:pageBreakBefore w:val="0"/>
        <w:widowControl w:val="0"/>
        <w:kinsoku/>
        <w:wordWrap/>
        <w:overflowPunct/>
        <w:topLinePunct w:val="0"/>
        <w:autoSpaceDE/>
        <w:autoSpaceDN/>
        <w:bidi w:val="0"/>
        <w:adjustRightInd/>
        <w:spacing w:line="580" w:lineRule="exact"/>
        <w:jc w:val="center"/>
        <w:textAlignment w:val="auto"/>
        <w:rPr>
          <w:rFonts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校赛省赛工作规范</w:t>
      </w:r>
    </w:p>
    <w:p w14:paraId="35080188">
      <w:pPr>
        <w:keepNext w:val="0"/>
        <w:keepLines w:val="0"/>
        <w:pageBreakBefore w:val="0"/>
        <w:widowControl w:val="0"/>
        <w:kinsoku/>
        <w:wordWrap/>
        <w:overflowPunct/>
        <w:topLinePunct w:val="0"/>
        <w:autoSpaceDE/>
        <w:autoSpaceDN/>
        <w:bidi w:val="0"/>
        <w:adjustRightInd/>
        <w:spacing w:beforeLines="100" w:line="580" w:lineRule="exact"/>
        <w:ind w:firstLine="620" w:firstLineChars="200"/>
        <w:jc w:val="left"/>
        <w:textAlignment w:val="auto"/>
        <w:rPr>
          <w:rFonts w:ascii="仿宋_GB2312" w:hAnsi="仿宋_GB2312" w:cs="仿宋_GB2312"/>
          <w:color w:val="000000"/>
          <w:kern w:val="0"/>
          <w:sz w:val="31"/>
          <w:szCs w:val="31"/>
          <w:lang w:bidi="ar"/>
        </w:rPr>
      </w:pPr>
      <w:r>
        <w:rPr>
          <w:rFonts w:hint="eastAsia" w:ascii="仿宋_GB2312" w:hAnsi="仿宋_GB2312" w:cs="仿宋_GB2312"/>
          <w:color w:val="000000"/>
          <w:kern w:val="0"/>
          <w:sz w:val="31"/>
          <w:szCs w:val="31"/>
          <w:lang w:bidi="ar"/>
        </w:rPr>
        <w:t>为进一步加强校赛省赛的规范管理，提升赛事育人实效，制定本工作规范，请参照执行。</w:t>
      </w:r>
    </w:p>
    <w:p w14:paraId="75F22756">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eastAsia="黑体" w:cs="仿宋_GB2312"/>
          <w:bCs/>
          <w:szCs w:val="32"/>
        </w:rPr>
      </w:pPr>
      <w:r>
        <w:rPr>
          <w:rFonts w:hint="eastAsia" w:eastAsia="黑体" w:cs="仿宋_GB2312"/>
          <w:bCs/>
          <w:szCs w:val="32"/>
        </w:rPr>
        <w:t>一、优化办赛机制</w:t>
      </w:r>
    </w:p>
    <w:p w14:paraId="4157CCC3">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auto"/>
        <w:rPr>
          <w:rFonts w:ascii="仿宋_GB2312" w:hAnsi="仿宋_GB2312" w:cs="仿宋_GB2312"/>
          <w:color w:val="000000"/>
          <w:kern w:val="0"/>
          <w:szCs w:val="32"/>
          <w:lang w:bidi="ar"/>
        </w:rPr>
      </w:pPr>
      <w:r>
        <w:rPr>
          <w:rFonts w:hint="eastAsia" w:ascii="楷体" w:hAnsi="楷体" w:eastAsia="楷体" w:cs="楷体"/>
        </w:rPr>
        <w:t>（一）责任主体。</w:t>
      </w:r>
      <w:r>
        <w:rPr>
          <w:rFonts w:ascii="仿宋_GB2312" w:hAnsi="仿宋_GB2312" w:cs="仿宋_GB2312"/>
          <w:color w:val="000000"/>
          <w:kern w:val="0"/>
          <w:szCs w:val="32"/>
          <w:lang w:bidi="ar"/>
        </w:rPr>
        <w:t>各省</w:t>
      </w:r>
      <w:r>
        <w:rPr>
          <w:rFonts w:hint="eastAsia" w:ascii="仿宋_GB2312" w:hAnsi="仿宋_GB2312" w:cs="仿宋_GB2312"/>
          <w:color w:val="000000"/>
          <w:kern w:val="0"/>
          <w:szCs w:val="32"/>
          <w:lang w:bidi="ar"/>
        </w:rPr>
        <w:t>级高校毕业生就业工作</w:t>
      </w:r>
      <w:r>
        <w:rPr>
          <w:rFonts w:ascii="仿宋_GB2312" w:hAnsi="仿宋_GB2312" w:cs="仿宋_GB2312"/>
          <w:color w:val="000000"/>
          <w:kern w:val="0"/>
          <w:szCs w:val="32"/>
          <w:lang w:bidi="ar"/>
        </w:rPr>
        <w:t>部门是省赛的主办单位，对省内各</w:t>
      </w:r>
      <w:r>
        <w:rPr>
          <w:rFonts w:hint="eastAsia" w:ascii="仿宋_GB2312" w:hAnsi="仿宋_GB2312" w:cs="仿宋_GB2312"/>
          <w:color w:val="000000"/>
          <w:kern w:val="0"/>
          <w:szCs w:val="32"/>
          <w:lang w:bidi="ar"/>
        </w:rPr>
        <w:t>高校校</w:t>
      </w:r>
      <w:r>
        <w:rPr>
          <w:rFonts w:ascii="仿宋_GB2312" w:hAnsi="仿宋_GB2312" w:cs="仿宋_GB2312"/>
          <w:color w:val="000000"/>
          <w:kern w:val="0"/>
          <w:szCs w:val="32"/>
          <w:lang w:bidi="ar"/>
        </w:rPr>
        <w:t>赛进行指导和监督。各</w:t>
      </w:r>
      <w:r>
        <w:rPr>
          <w:rFonts w:hint="eastAsia" w:ascii="仿宋_GB2312" w:hAnsi="仿宋_GB2312" w:cs="仿宋_GB2312"/>
          <w:color w:val="000000"/>
          <w:kern w:val="0"/>
          <w:szCs w:val="32"/>
          <w:lang w:bidi="ar"/>
        </w:rPr>
        <w:t>高校</w:t>
      </w:r>
      <w:r>
        <w:rPr>
          <w:rFonts w:ascii="仿宋_GB2312" w:hAnsi="仿宋_GB2312" w:cs="仿宋_GB2312"/>
          <w:color w:val="000000"/>
          <w:kern w:val="0"/>
          <w:szCs w:val="32"/>
          <w:lang w:bidi="ar"/>
        </w:rPr>
        <w:t>是校赛的主办单位，负责本校赛事组织与管理。</w:t>
      </w:r>
    </w:p>
    <w:p w14:paraId="3E450FD8">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left"/>
        <w:textAlignment w:val="auto"/>
        <w:rPr>
          <w:rFonts w:ascii="仿宋_GB2312" w:hAnsi="仿宋_GB2312" w:cs="仿宋_GB2312"/>
          <w:color w:val="000000"/>
          <w:spacing w:val="-6"/>
          <w:kern w:val="0"/>
          <w:sz w:val="32"/>
          <w:szCs w:val="32"/>
          <w:lang w:bidi="ar"/>
        </w:rPr>
      </w:pPr>
      <w:r>
        <w:rPr>
          <w:rFonts w:hint="eastAsia" w:ascii="楷体" w:hAnsi="楷体" w:eastAsia="楷体" w:cs="楷体"/>
          <w:spacing w:val="0"/>
          <w:sz w:val="32"/>
        </w:rPr>
        <w:t>（二）</w:t>
      </w:r>
      <w:r>
        <w:rPr>
          <w:rFonts w:ascii="楷体" w:hAnsi="楷体" w:eastAsia="楷体" w:cs="楷体"/>
          <w:spacing w:val="0"/>
          <w:sz w:val="32"/>
        </w:rPr>
        <w:t>承办制度。</w:t>
      </w:r>
      <w:r>
        <w:rPr>
          <w:rFonts w:ascii="仿宋_GB2312" w:hAnsi="仿宋_GB2312" w:cs="仿宋_GB2312"/>
          <w:color w:val="000000"/>
          <w:spacing w:val="0"/>
          <w:kern w:val="0"/>
          <w:sz w:val="32"/>
          <w:szCs w:val="32"/>
          <w:lang w:bidi="ar"/>
        </w:rPr>
        <w:t>各省级高校毕业生就业工作部门应对申办省赛的高校进行评估，择优确定承办高校。有条件的省份应</w:t>
      </w:r>
      <w:r>
        <w:rPr>
          <w:rFonts w:ascii="仿宋_GB2312" w:hAnsi="仿宋_GB2312" w:cs="仿宋_GB2312"/>
          <w:color w:val="000000"/>
          <w:spacing w:val="-6"/>
          <w:kern w:val="0"/>
          <w:sz w:val="32"/>
          <w:szCs w:val="32"/>
          <w:lang w:bidi="ar"/>
        </w:rPr>
        <w:t>组织高校轮流承办，原则上同一高校不得连续承办三届。</w:t>
      </w:r>
    </w:p>
    <w:p w14:paraId="4D609E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color w:val="000000"/>
          <w:kern w:val="0"/>
          <w:szCs w:val="32"/>
          <w:lang w:bidi="ar"/>
        </w:rPr>
      </w:pPr>
      <w:r>
        <w:rPr>
          <w:rFonts w:ascii="楷体" w:hAnsi="楷体" w:eastAsia="楷体" w:cs="楷体"/>
          <w:lang w:bidi="ar"/>
        </w:rPr>
        <w:t>（三）</w:t>
      </w:r>
      <w:r>
        <w:rPr>
          <w:rFonts w:hint="eastAsia" w:ascii="楷体" w:hAnsi="楷体" w:eastAsia="楷体" w:cs="楷体"/>
        </w:rPr>
        <w:t>办赛导向。</w:t>
      </w:r>
      <w:r>
        <w:rPr>
          <w:rFonts w:hint="eastAsia" w:ascii="仿宋_GB2312" w:hAnsi="仿宋_GB2312" w:cs="仿宋_GB2312"/>
          <w:color w:val="000000"/>
          <w:kern w:val="0"/>
          <w:szCs w:val="32"/>
          <w:lang w:bidi="ar"/>
        </w:rPr>
        <w:t>重视校赛基础作用，强化育人导向。发动更多专业课教师、就业指导教师等参与校赛指导，将校赛指导计入教育教学工作量，让更多学生获得高质量指导服务。举办校本化、多元化生涯教育和促就业活动，提升促就业实效。</w:t>
      </w:r>
      <w:r>
        <w:rPr>
          <w:rFonts w:ascii="仿宋_GB2312" w:hAnsi="仿宋_GB2312" w:cs="仿宋_GB2312"/>
          <w:color w:val="000000"/>
          <w:kern w:val="0"/>
          <w:szCs w:val="32"/>
          <w:lang w:bidi="ar"/>
        </w:rPr>
        <w:t>破除“唯奖项”倾向，</w:t>
      </w:r>
      <w:r>
        <w:rPr>
          <w:rFonts w:hint="eastAsia" w:ascii="仿宋_GB2312" w:hAnsi="仿宋_GB2312" w:cs="仿宋_GB2312"/>
          <w:color w:val="000000"/>
          <w:kern w:val="0"/>
          <w:szCs w:val="32"/>
          <w:lang w:bidi="ar"/>
        </w:rPr>
        <w:t>禁止</w:t>
      </w:r>
      <w:r>
        <w:rPr>
          <w:rFonts w:ascii="仿宋_GB2312" w:hAnsi="仿宋_GB2312" w:cs="仿宋_GB2312"/>
          <w:color w:val="000000"/>
          <w:kern w:val="0"/>
          <w:szCs w:val="32"/>
          <w:lang w:bidi="ar"/>
        </w:rPr>
        <w:t>简单将获奖与学生综合评价、推荐免试研究生、</w:t>
      </w:r>
      <w:r>
        <w:rPr>
          <w:rFonts w:hint="eastAsia" w:ascii="仿宋_GB2312" w:hAnsi="仿宋_GB2312" w:cs="仿宋_GB2312"/>
          <w:color w:val="000000"/>
          <w:kern w:val="0"/>
          <w:szCs w:val="32"/>
          <w:lang w:bidi="ar"/>
        </w:rPr>
        <w:t>免试专升本、</w:t>
      </w:r>
      <w:r>
        <w:rPr>
          <w:rFonts w:ascii="仿宋_GB2312" w:hAnsi="仿宋_GB2312" w:cs="仿宋_GB2312"/>
          <w:color w:val="000000"/>
          <w:kern w:val="0"/>
          <w:szCs w:val="32"/>
          <w:lang w:bidi="ar"/>
        </w:rPr>
        <w:t>教师职称评聘直接挂钩</w:t>
      </w:r>
      <w:r>
        <w:rPr>
          <w:rFonts w:hint="eastAsia" w:ascii="仿宋_GB2312" w:hAnsi="仿宋_GB2312" w:cs="仿宋_GB2312"/>
          <w:color w:val="000000"/>
          <w:kern w:val="0"/>
          <w:szCs w:val="32"/>
          <w:lang w:bidi="ar"/>
        </w:rPr>
        <w:t>，</w:t>
      </w:r>
      <w:r>
        <w:rPr>
          <w:rFonts w:ascii="仿宋_GB2312" w:hAnsi="仿宋_GB2312" w:cs="仿宋_GB2312"/>
          <w:color w:val="000000"/>
          <w:kern w:val="0"/>
          <w:szCs w:val="32"/>
          <w:lang w:bidi="ar"/>
        </w:rPr>
        <w:t>不鼓励重金奖励获奖</w:t>
      </w:r>
      <w:r>
        <w:rPr>
          <w:rFonts w:hint="eastAsia" w:ascii="仿宋_GB2312" w:hAnsi="仿宋_GB2312" w:cs="仿宋_GB2312"/>
          <w:color w:val="000000"/>
          <w:kern w:val="0"/>
          <w:szCs w:val="32"/>
          <w:lang w:bidi="ar"/>
        </w:rPr>
        <w:t>选手和指导教师</w:t>
      </w:r>
      <w:r>
        <w:rPr>
          <w:rFonts w:ascii="仿宋_GB2312" w:hAnsi="仿宋_GB2312" w:cs="仿宋_GB2312"/>
          <w:color w:val="000000"/>
          <w:kern w:val="0"/>
          <w:szCs w:val="32"/>
          <w:lang w:bidi="ar"/>
        </w:rPr>
        <w:t>。</w:t>
      </w:r>
      <w:r>
        <w:rPr>
          <w:rFonts w:hint="eastAsia" w:ascii="仿宋_GB2312" w:hAnsi="仿宋_GB2312" w:cs="仿宋_GB2312"/>
          <w:color w:val="000000"/>
          <w:kern w:val="0"/>
          <w:szCs w:val="32"/>
          <w:lang w:bidi="ar"/>
        </w:rPr>
        <w:t>节俭高效廉洁办赛，控制办赛成本，杜绝铺张浪费。</w:t>
      </w:r>
    </w:p>
    <w:p w14:paraId="34C51447">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jc w:val="left"/>
        <w:textAlignment w:val="auto"/>
        <w:rPr>
          <w:rFonts w:eastAsia="黑体" w:cs="仿宋_GB2312"/>
          <w:bCs/>
          <w:szCs w:val="32"/>
        </w:rPr>
      </w:pPr>
      <w:r>
        <w:rPr>
          <w:rFonts w:hint="eastAsia" w:eastAsia="黑体" w:cs="仿宋_GB2312"/>
          <w:bCs/>
          <w:szCs w:val="32"/>
        </w:rPr>
        <w:t>二、规范赛事组织</w:t>
      </w:r>
    </w:p>
    <w:p w14:paraId="7B1301FF">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auto"/>
        <w:rPr>
          <w:rFonts w:ascii="仿宋_GB2312" w:hAnsi="仿宋_GB2312" w:cs="仿宋_GB2312"/>
          <w:color w:val="000000"/>
          <w:kern w:val="0"/>
          <w:szCs w:val="32"/>
          <w:lang w:bidi="ar"/>
        </w:rPr>
      </w:pPr>
      <w:r>
        <w:rPr>
          <w:rFonts w:hint="eastAsia" w:ascii="楷体" w:hAnsi="楷体" w:eastAsia="楷体" w:cs="楷体"/>
        </w:rPr>
        <w:t>（一）方案制定。</w:t>
      </w:r>
      <w:r>
        <w:rPr>
          <w:rFonts w:hint="eastAsia" w:ascii="仿宋_GB2312" w:hAnsi="仿宋_GB2312" w:cs="仿宋_GB2312"/>
          <w:color w:val="000000"/>
          <w:kern w:val="0"/>
          <w:szCs w:val="32"/>
          <w:lang w:bidi="ar"/>
        </w:rPr>
        <w:t>科学设</w:t>
      </w:r>
      <w:r>
        <w:rPr>
          <w:rFonts w:ascii="仿宋_GB2312" w:hAnsi="仿宋_GB2312" w:cs="仿宋_GB2312"/>
          <w:color w:val="000000"/>
          <w:kern w:val="0"/>
          <w:szCs w:val="32"/>
          <w:lang w:bidi="ar"/>
        </w:rPr>
        <w:t>计</w:t>
      </w:r>
      <w:r>
        <w:rPr>
          <w:rFonts w:hint="eastAsia" w:ascii="仿宋_GB2312" w:hAnsi="仿宋_GB2312" w:cs="仿宋_GB2312"/>
          <w:color w:val="000000"/>
          <w:kern w:val="0"/>
          <w:szCs w:val="32"/>
          <w:lang w:bidi="ar"/>
        </w:rPr>
        <w:t>赛事方案</w:t>
      </w:r>
      <w:r>
        <w:rPr>
          <w:rFonts w:ascii="仿宋_GB2312" w:hAnsi="仿宋_GB2312" w:cs="仿宋_GB2312"/>
          <w:color w:val="000000"/>
          <w:kern w:val="0"/>
          <w:szCs w:val="32"/>
          <w:lang w:bidi="ar"/>
        </w:rPr>
        <w:t>并提前公布</w:t>
      </w:r>
      <w:r>
        <w:rPr>
          <w:rFonts w:hint="eastAsia" w:ascii="仿宋_GB2312" w:hAnsi="仿宋_GB2312" w:cs="仿宋_GB2312"/>
          <w:color w:val="000000"/>
          <w:kern w:val="0"/>
          <w:szCs w:val="32"/>
          <w:lang w:bidi="ar"/>
        </w:rPr>
        <w:t>。</w:t>
      </w:r>
      <w:r>
        <w:rPr>
          <w:rFonts w:ascii="仿宋_GB2312" w:hAnsi="仿宋_GB2312" w:cs="仿宋_GB2312"/>
          <w:color w:val="000000"/>
          <w:kern w:val="0"/>
          <w:szCs w:val="32"/>
          <w:lang w:bidi="ar"/>
        </w:rPr>
        <w:t>严格执行比赛规则</w:t>
      </w:r>
      <w:r>
        <w:rPr>
          <w:rFonts w:hint="eastAsia" w:ascii="仿宋_GB2312" w:hAnsi="仿宋_GB2312" w:cs="仿宋_GB2312"/>
          <w:color w:val="000000"/>
          <w:kern w:val="0"/>
          <w:szCs w:val="32"/>
          <w:lang w:bidi="ar"/>
        </w:rPr>
        <w:t>，</w:t>
      </w:r>
      <w:r>
        <w:rPr>
          <w:rFonts w:hint="eastAsia"/>
          <w:color w:val="000000"/>
        </w:rPr>
        <w:t>及时公布成绩和获奖名单。</w:t>
      </w:r>
      <w:r>
        <w:rPr>
          <w:rFonts w:hint="eastAsia" w:ascii="仿宋_GB2312" w:hAnsi="仿宋_GB2312" w:cs="仿宋_GB2312"/>
          <w:color w:val="000000"/>
          <w:kern w:val="0"/>
          <w:szCs w:val="32"/>
          <w:lang w:bidi="ar"/>
        </w:rPr>
        <w:t>不得以“内部集训”“定向培优”等代替比赛，</w:t>
      </w:r>
      <w:r>
        <w:rPr>
          <w:rFonts w:ascii="仿宋_GB2312" w:hAnsi="仿宋_GB2312" w:cs="仿宋_GB2312"/>
          <w:color w:val="000000"/>
          <w:kern w:val="0"/>
          <w:szCs w:val="32"/>
          <w:lang w:bidi="ar"/>
        </w:rPr>
        <w:t>不得摊派参赛指标</w:t>
      </w:r>
      <w:r>
        <w:rPr>
          <w:rFonts w:hint="eastAsia" w:ascii="仿宋_GB2312" w:hAnsi="仿宋_GB2312" w:cs="仿宋_GB2312"/>
          <w:color w:val="000000"/>
          <w:kern w:val="0"/>
          <w:szCs w:val="32"/>
          <w:lang w:bidi="ar"/>
        </w:rPr>
        <w:t>。</w:t>
      </w:r>
    </w:p>
    <w:p w14:paraId="61720E0B">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ascii="仿宋_GB2312" w:hAnsi="仿宋_GB2312" w:cs="仿宋_GB2312"/>
          <w:color w:val="000000"/>
          <w:kern w:val="0"/>
          <w:szCs w:val="32"/>
          <w:lang w:bidi="ar"/>
        </w:rPr>
      </w:pPr>
      <w:r>
        <w:rPr>
          <w:rFonts w:hint="eastAsia" w:ascii="楷体" w:hAnsi="楷体" w:eastAsia="楷体" w:cs="楷体"/>
        </w:rPr>
        <w:t>（</w:t>
      </w:r>
      <w:r>
        <w:rPr>
          <w:rFonts w:ascii="楷体" w:hAnsi="楷体" w:eastAsia="楷体" w:cs="楷体"/>
        </w:rPr>
        <w:t>二</w:t>
      </w:r>
      <w:r>
        <w:rPr>
          <w:rFonts w:hint="eastAsia" w:ascii="楷体" w:hAnsi="楷体" w:eastAsia="楷体" w:cs="楷体"/>
        </w:rPr>
        <w:t>）参赛审核。</w:t>
      </w:r>
      <w:r>
        <w:rPr>
          <w:rFonts w:ascii="仿宋_GB2312" w:hAnsi="仿宋_GB2312" w:cs="仿宋_GB2312"/>
          <w:color w:val="000000"/>
          <w:kern w:val="0"/>
          <w:szCs w:val="32"/>
          <w:lang w:bidi="ar"/>
        </w:rPr>
        <w:t>严格开展</w:t>
      </w:r>
      <w:r>
        <w:rPr>
          <w:rFonts w:hint="eastAsia" w:ascii="仿宋_GB2312" w:hAnsi="仿宋_GB2312" w:cs="仿宋_GB2312"/>
          <w:color w:val="000000"/>
          <w:kern w:val="0"/>
          <w:szCs w:val="32"/>
          <w:lang w:bidi="ar"/>
        </w:rPr>
        <w:t>选手参赛资格和材料</w:t>
      </w:r>
      <w:r>
        <w:rPr>
          <w:rFonts w:ascii="仿宋_GB2312" w:hAnsi="仿宋_GB2312" w:cs="仿宋_GB2312"/>
          <w:color w:val="000000"/>
          <w:kern w:val="0"/>
          <w:szCs w:val="32"/>
          <w:lang w:bidi="ar"/>
        </w:rPr>
        <w:t>审</w:t>
      </w:r>
      <w:r>
        <w:rPr>
          <w:rFonts w:hint="eastAsia" w:ascii="仿宋_GB2312" w:hAnsi="仿宋_GB2312" w:cs="仿宋_GB2312"/>
          <w:color w:val="000000"/>
          <w:kern w:val="0"/>
          <w:szCs w:val="32"/>
          <w:lang w:bidi="ar"/>
        </w:rPr>
        <w:t>核，</w:t>
      </w:r>
      <w:r>
        <w:rPr>
          <w:rFonts w:ascii="仿宋_GB2312" w:hAnsi="仿宋_GB2312" w:cs="仿宋_GB2312"/>
          <w:color w:val="000000"/>
          <w:kern w:val="0"/>
          <w:szCs w:val="32"/>
          <w:lang w:bidi="ar"/>
        </w:rPr>
        <w:t>确保合规</w:t>
      </w:r>
      <w:r>
        <w:rPr>
          <w:rFonts w:hint="eastAsia" w:ascii="仿宋_GB2312" w:hAnsi="仿宋_GB2312" w:cs="仿宋_GB2312"/>
          <w:color w:val="000000"/>
          <w:kern w:val="0"/>
          <w:szCs w:val="32"/>
          <w:lang w:bidi="ar"/>
        </w:rPr>
        <w:t>、</w:t>
      </w:r>
      <w:r>
        <w:rPr>
          <w:rFonts w:ascii="仿宋_GB2312" w:hAnsi="仿宋_GB2312" w:cs="仿宋_GB2312"/>
          <w:color w:val="000000"/>
          <w:kern w:val="0"/>
          <w:szCs w:val="32"/>
          <w:lang w:bidi="ar"/>
        </w:rPr>
        <w:t>真实</w:t>
      </w:r>
      <w:r>
        <w:rPr>
          <w:rFonts w:hint="eastAsia" w:ascii="仿宋_GB2312" w:hAnsi="仿宋_GB2312" w:cs="仿宋_GB2312"/>
          <w:color w:val="000000"/>
          <w:kern w:val="0"/>
          <w:szCs w:val="32"/>
          <w:lang w:bidi="ar"/>
        </w:rPr>
        <w:t>。推荐至省赛的选手名单和参赛材料须经选手所在高校盖章确认。推荐至全国总决赛的选手名单须经省级高校毕业生就业工作部门盖章确认，参赛材料须经选手所在高校盖章确认。</w:t>
      </w:r>
    </w:p>
    <w:p w14:paraId="1E93731D">
      <w:pPr>
        <w:keepNext w:val="0"/>
        <w:keepLines w:val="0"/>
        <w:pageBreakBefore w:val="0"/>
        <w:widowControl w:val="0"/>
        <w:kinsoku/>
        <w:wordWrap/>
        <w:overflowPunct/>
        <w:topLinePunct w:val="0"/>
        <w:autoSpaceDE/>
        <w:autoSpaceDN/>
        <w:bidi w:val="0"/>
        <w:spacing w:line="580" w:lineRule="exact"/>
        <w:ind w:firstLine="640"/>
        <w:textAlignment w:val="auto"/>
        <w:rPr>
          <w:rFonts w:ascii="仿宋_GB2312" w:hAnsi="仿宋_GB2312" w:cs="仿宋_GB2312"/>
          <w:color w:val="000000"/>
          <w:kern w:val="0"/>
          <w:szCs w:val="32"/>
          <w:lang w:bidi="ar"/>
        </w:rPr>
      </w:pPr>
      <w:r>
        <w:rPr>
          <w:rFonts w:hint="eastAsia" w:ascii="楷体" w:hAnsi="楷体" w:eastAsia="楷体" w:cs="楷体"/>
        </w:rPr>
        <w:t>（</w:t>
      </w:r>
      <w:r>
        <w:rPr>
          <w:rFonts w:ascii="楷体" w:hAnsi="楷体" w:eastAsia="楷体" w:cs="楷体"/>
        </w:rPr>
        <w:t>三</w:t>
      </w:r>
      <w:r>
        <w:rPr>
          <w:rFonts w:hint="eastAsia" w:ascii="楷体" w:hAnsi="楷体" w:eastAsia="楷体" w:cs="楷体"/>
        </w:rPr>
        <w:t>）专家管理。</w:t>
      </w:r>
      <w:r>
        <w:rPr>
          <w:rFonts w:hint="eastAsia" w:ascii="仿宋_GB2312" w:hAnsi="仿宋_GB2312" w:cs="仿宋_GB2312"/>
          <w:color w:val="000000"/>
          <w:kern w:val="0"/>
          <w:szCs w:val="32"/>
          <w:lang w:bidi="ar"/>
        </w:rPr>
        <w:t>明确专家遴选标准，严格专家资格审核，落实回避要求。加强专家培训，提升专业能力，</w:t>
      </w:r>
      <w:r>
        <w:rPr>
          <w:rFonts w:hint="eastAsia" w:ascii="仿宋_GB2312" w:hAnsi="仿宋_GB2312" w:cs="仿宋_GB2312"/>
          <w:szCs w:val="32"/>
        </w:rPr>
        <w:t>签订承诺书</w:t>
      </w:r>
      <w:r>
        <w:rPr>
          <w:rFonts w:hint="eastAsia" w:ascii="仿宋_GB2312" w:hAnsi="仿宋_GB2312" w:cs="仿宋_GB2312"/>
          <w:color w:val="000000"/>
          <w:kern w:val="0"/>
          <w:szCs w:val="32"/>
          <w:lang w:bidi="ar"/>
        </w:rPr>
        <w:t>，规范评审行为，明确保密责任。做好专家监管，对于存在徇私舞弊、借机牟利、私自泄露专家身份和评审细节等违规行为的，依规永久取消专家资格。</w:t>
      </w:r>
    </w:p>
    <w:p w14:paraId="0F7A5BF0">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auto"/>
        <w:rPr>
          <w:rFonts w:ascii="仿宋_GB2312" w:hAnsi="仿宋_GB2312" w:cs="仿宋_GB2312"/>
          <w:color w:val="000000"/>
          <w:kern w:val="0"/>
          <w:szCs w:val="32"/>
          <w:lang w:bidi="ar"/>
        </w:rPr>
      </w:pPr>
      <w:r>
        <w:rPr>
          <w:rFonts w:hint="eastAsia" w:ascii="楷体" w:hAnsi="楷体" w:eastAsia="楷体" w:cs="楷体"/>
          <w:lang w:bidi="ar"/>
        </w:rPr>
        <w:t>（四）企业参与。</w:t>
      </w:r>
      <w:r>
        <w:rPr>
          <w:rFonts w:hint="eastAsia" w:ascii="仿宋_GB2312" w:hAnsi="仿宋_GB2312" w:cs="仿宋_GB2312"/>
          <w:color w:val="000000"/>
          <w:kern w:val="0"/>
          <w:szCs w:val="32"/>
          <w:lang w:bidi="ar"/>
        </w:rPr>
        <w:t>广泛发动行业企业参与大赛，鼓励设置企业心选团，为选手提供优质实习和就业机会。不得委托第三方商业机构承办赛事，严禁教育培训类企业参与评审、企业心选团等工作。</w:t>
      </w:r>
    </w:p>
    <w:p w14:paraId="0FAADAAA">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eastAsia="黑体" w:cs="仿宋_GB2312"/>
          <w:bCs/>
          <w:szCs w:val="32"/>
        </w:rPr>
      </w:pPr>
      <w:r>
        <w:rPr>
          <w:rFonts w:hint="eastAsia" w:eastAsia="黑体" w:cs="仿宋_GB2312"/>
          <w:bCs/>
          <w:szCs w:val="32"/>
        </w:rPr>
        <w:t>三、加强赛事监督</w:t>
      </w:r>
    </w:p>
    <w:p w14:paraId="3A0FC28E">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auto"/>
        <w:rPr>
          <w:rFonts w:ascii="仿宋_GB2312" w:hAnsi="仿宋_GB2312" w:cs="仿宋_GB2312"/>
          <w:szCs w:val="32"/>
        </w:rPr>
      </w:pPr>
      <w:r>
        <w:rPr>
          <w:rFonts w:hint="eastAsia" w:ascii="楷体" w:hAnsi="楷体" w:eastAsia="楷体" w:cs="楷体"/>
        </w:rPr>
        <w:t>（一）明确职责。</w:t>
      </w:r>
      <w:r>
        <w:rPr>
          <w:rFonts w:hint="eastAsia" w:ascii="仿宋_GB2312" w:hAnsi="仿宋_GB2312" w:cs="仿宋_GB2312"/>
          <w:color w:val="000000"/>
          <w:kern w:val="0"/>
          <w:szCs w:val="32"/>
          <w:lang w:bidi="ar"/>
        </w:rPr>
        <w:t>各地成立省赛纪律与监督机构，负责省赛纪律监督工作</w:t>
      </w:r>
      <w:r>
        <w:rPr>
          <w:rFonts w:hint="eastAsia" w:ascii="仿宋_GB2312" w:hAnsi="仿宋_GB2312" w:cs="仿宋_GB2312"/>
          <w:szCs w:val="32"/>
        </w:rPr>
        <w:t>，接到对校赛的申诉和异议后转交、督促高校及时处理。各高校</w:t>
      </w:r>
      <w:r>
        <w:rPr>
          <w:rFonts w:hint="eastAsia" w:ascii="仿宋_GB2312" w:hAnsi="仿宋_GB2312" w:cs="仿宋_GB2312"/>
          <w:color w:val="000000"/>
          <w:kern w:val="0"/>
          <w:szCs w:val="32"/>
          <w:lang w:bidi="ar"/>
        </w:rPr>
        <w:t>成立校赛纪律与监督机构，</w:t>
      </w:r>
      <w:r>
        <w:rPr>
          <w:rFonts w:hint="eastAsia" w:ascii="仿宋_GB2312" w:hAnsi="仿宋_GB2312" w:cs="仿宋_GB2312"/>
          <w:szCs w:val="32"/>
        </w:rPr>
        <w:t>负责本校比赛纪律监督工作。</w:t>
      </w:r>
    </w:p>
    <w:p w14:paraId="0D6F72E0">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jc w:val="left"/>
        <w:textAlignment w:val="auto"/>
        <w:rPr>
          <w:rFonts w:ascii="楷体" w:hAnsi="楷体" w:eastAsia="楷体" w:cs="楷体"/>
        </w:rPr>
      </w:pPr>
      <w:r>
        <w:rPr>
          <w:rFonts w:hint="eastAsia" w:ascii="楷体" w:hAnsi="楷体" w:eastAsia="楷体" w:cs="楷体"/>
        </w:rPr>
        <w:t>（二）过程监管。</w:t>
      </w:r>
      <w:r>
        <w:rPr>
          <w:rFonts w:hint="eastAsia" w:ascii="仿宋_GB2312" w:hAnsi="仿宋_GB2312" w:cs="仿宋_GB2312"/>
          <w:szCs w:val="32"/>
        </w:rPr>
        <w:t>校赛省赛纪律与监督机构依规对选手抽签、现场比赛、成绩评判与发布等实施全程监督。比赛期间及时纠正违规问题，在必要范围内公布监督举报方式，受理并处理申诉和异议。赛后整理归档监督记录、申诉举报材料和处置结果。</w:t>
      </w:r>
    </w:p>
    <w:p w14:paraId="1EA058F9">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jc w:val="left"/>
        <w:textAlignment w:val="auto"/>
        <w:rPr>
          <w:rFonts w:ascii="仿宋_GB2312" w:hAnsi="仿宋_GB2312" w:cs="仿宋_GB2312"/>
          <w:color w:val="000000"/>
          <w:kern w:val="0"/>
          <w:szCs w:val="32"/>
          <w:lang w:bidi="ar"/>
        </w:rPr>
      </w:pPr>
      <w:r>
        <w:rPr>
          <w:rFonts w:hint="eastAsia" w:ascii="楷体" w:hAnsi="楷体" w:eastAsia="楷体" w:cs="楷体"/>
        </w:rPr>
        <w:t>（三）制定细则。</w:t>
      </w:r>
      <w:r>
        <w:rPr>
          <w:rFonts w:hint="eastAsia" w:ascii="仿宋_GB2312" w:hAnsi="仿宋_GB2312" w:cs="仿宋_GB2312"/>
          <w:szCs w:val="32"/>
        </w:rPr>
        <w:t>各地各高校要</w:t>
      </w:r>
      <w:r>
        <w:rPr>
          <w:rFonts w:ascii="仿宋_GB2312" w:hAnsi="仿宋_GB2312" w:cs="仿宋_GB2312"/>
          <w:color w:val="000000"/>
          <w:kern w:val="0"/>
          <w:szCs w:val="32"/>
          <w:lang w:bidi="ar"/>
        </w:rPr>
        <w:t>结合本</w:t>
      </w:r>
      <w:r>
        <w:rPr>
          <w:rFonts w:hint="eastAsia" w:ascii="仿宋_GB2312" w:hAnsi="仿宋_GB2312" w:cs="仿宋_GB2312"/>
          <w:color w:val="000000"/>
          <w:kern w:val="0"/>
          <w:szCs w:val="32"/>
          <w:lang w:bidi="ar"/>
        </w:rPr>
        <w:t>地</w:t>
      </w:r>
      <w:r>
        <w:rPr>
          <w:rFonts w:ascii="仿宋_GB2312" w:hAnsi="仿宋_GB2312" w:cs="仿宋_GB2312"/>
          <w:color w:val="000000"/>
          <w:kern w:val="0"/>
          <w:szCs w:val="32"/>
          <w:lang w:bidi="ar"/>
        </w:rPr>
        <w:t>实际情况，</w:t>
      </w:r>
      <w:r>
        <w:rPr>
          <w:rFonts w:hint="eastAsia" w:ascii="仿宋_GB2312" w:hAnsi="仿宋_GB2312" w:cs="仿宋_GB2312"/>
          <w:color w:val="000000"/>
          <w:kern w:val="0"/>
          <w:szCs w:val="32"/>
          <w:lang w:bidi="ar"/>
        </w:rPr>
        <w:t>参照</w:t>
      </w:r>
      <w:r>
        <w:rPr>
          <w:rFonts w:ascii="仿宋_GB2312" w:hAnsi="仿宋_GB2312" w:cs="仿宋_GB2312"/>
          <w:color w:val="000000"/>
          <w:kern w:val="0"/>
          <w:szCs w:val="32"/>
          <w:lang w:bidi="ar"/>
        </w:rPr>
        <w:t>制定具体可行的实施细则，进一步明确赛事组织流程、评审标准、监督机制等内容，确保各项工作要求落实落细。</w:t>
      </w:r>
    </w:p>
    <w:sectPr>
      <w:headerReference r:id="rId5" w:type="first"/>
      <w:footerReference r:id="rId8" w:type="first"/>
      <w:headerReference r:id="rId3" w:type="default"/>
      <w:footerReference r:id="rId6" w:type="default"/>
      <w:headerReference r:id="rId4" w:type="even"/>
      <w:footerReference r:id="rId7" w:type="even"/>
      <w:pgSz w:w="11906" w:h="16838"/>
      <w:pgMar w:top="1984" w:right="1800" w:bottom="1871" w:left="1800" w:header="851" w:footer="1531" w:gutter="0"/>
      <w:pgNumType w:fmt="decimal" w:start="8"/>
      <w:cols w:space="720" w:num="1"/>
      <w:rtlGutter w:val="0"/>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6EC37">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4445</wp:posOffset>
              </wp:positionV>
              <wp:extent cx="864235" cy="35242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64235" cy="352425"/>
                      </a:xfrm>
                      <a:prstGeom prst="rect">
                        <a:avLst/>
                      </a:prstGeom>
                      <a:noFill/>
                      <a:ln w="6350">
                        <a:noFill/>
                      </a:ln>
                    </wps:spPr>
                    <wps:txbx>
                      <w:txbxContent>
                        <w:p w14:paraId="4ACA8A4E">
                          <w:pPr>
                            <w:pStyle w:val="7"/>
                            <w:jc w:val="center"/>
                            <w:rPr>
                              <w:sz w:val="28"/>
                              <w:szCs w:val="28"/>
                            </w:rPr>
                          </w:pPr>
                          <w:r>
                            <w:rPr>
                              <w:rFonts w:hint="eastAsia" w:ascii="仿宋_GB2312" w:hAnsi="仿宋_GB2312" w:cs="仿宋_GB2312"/>
                              <w:sz w:val="28"/>
                              <w:szCs w:val="28"/>
                            </w:rPr>
                            <w:t>—</w:t>
                          </w:r>
                          <w:r>
                            <w:rPr>
                              <w:sz w:val="28"/>
                              <w:szCs w:val="28"/>
                            </w:rPr>
                            <w:t xml:space="preserve"> </w:t>
                          </w: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Pr>
                              <w:rFonts w:eastAsia="宋体"/>
                              <w:sz w:val="28"/>
                              <w:szCs w:val="28"/>
                            </w:rPr>
                            <w:t>1</w:t>
                          </w:r>
                          <w:r>
                            <w:rPr>
                              <w:rFonts w:eastAsia="宋体"/>
                              <w:sz w:val="28"/>
                              <w:szCs w:val="28"/>
                            </w:rPr>
                            <w:fldChar w:fldCharType="end"/>
                          </w:r>
                          <w:r>
                            <w:rPr>
                              <w:sz w:val="28"/>
                              <w:szCs w:val="28"/>
                            </w:rPr>
                            <w:t xml:space="preserve"> </w:t>
                          </w:r>
                          <w:r>
                            <w:rPr>
                              <w:rFonts w:hint="eastAsia" w:ascii="仿宋_GB2312" w:hAnsi="仿宋_GB2312" w:cs="仿宋_GB2312"/>
                              <w:sz w:val="28"/>
                              <w:szCs w:val="28"/>
                            </w:rPr>
                            <w:t>—</w:t>
                          </w:r>
                        </w:p>
                      </w:txbxContent>
                    </wps:txbx>
                    <wps:bodyPr lIns="0" tIns="0" rIns="0" bIns="0" upright="1"/>
                  </wps:wsp>
                </a:graphicData>
              </a:graphic>
            </wp:anchor>
          </w:drawing>
        </mc:Choice>
        <mc:Fallback>
          <w:pict>
            <v:shape id="文本框 2" o:spid="_x0000_s1026" o:spt="202" type="#_x0000_t202" style="position:absolute;left:0pt;margin-top:0.35pt;height:27.75pt;width:68.05pt;mso-position-horizontal:outside;mso-position-horizontal-relative:margin;z-index:251659264;mso-width-relative:page;mso-height-relative:page;" filled="f" stroked="f" coordsize="21600,21600" o:gfxdata="UEsDBAoAAAAAAIdO4kAAAAAAAAAAAAAAAAAEAAAAZHJzL1BLAwQUAAAACACHTuJAtoOTtdQAAAAE&#10;AQAADwAAAGRycy9kb3ducmV2LnhtbE2PS0/DMBCE70j8B2uRuFE7RQQUsumBx41HKa0ENycxSYS9&#10;juxNWv497gmOoxnNfFOuDs6K2YQ4eELIFgqEoca3A3UI2/fHixsQkTW12noyCD8mwqo6PSl10fo9&#10;vZl5w51IJRQLjdAzj4WUsemN03HhR0PJ+/LBaU4ydLINep/KnZVLpXLp9EBpodejuetN872ZHIL9&#10;iOGpVvw533fPvH6V0+4he0E8P8vULQg2B/4LwxE/oUOVmGo/URuFRUhHGOEaxNG7zDMQNcJVvgRZ&#10;lfI/fPULUEsDBBQAAAAIAIdO4kAdkay+wwEAAHoDAAAOAAAAZHJzL2Uyb0RvYy54bWytU0tu2zAQ&#10;3RfIHQjuaylybASC5QCFkaBAkRZIewCaIi0C/GFIW/IF0ht01U33PZfP0SElO0W6yaIbajgzfDPv&#10;zWh1NxhNDgKCcrah17OSEmG5a5XdNfTb1/v3t5SEyGzLtLOioUcR6N366t2q97WoXOd0K4AgiA11&#10;7xvaxejrogi8E4aFmfPCYlA6MCziFXZFC6xHdKOLqiyXRe+g9eC4CAG9mzFIJ0R4C6CTUnGxcXxv&#10;hI0jKgjNIlIKnfKBrnO3UgoeP0sZRCS6ocg05hOLoL1NZ7FesXoHzHeKTy2wt7TwipNhymLRC9SG&#10;RUb2oP6BMoqDC07GGXemGIlkRZDFdflKm6eOeZG5oNTBX0QP/w+WPx6+AFEtbgIllhkc+OnH99PP&#10;36dfz6RK8vQ+1Jj15DEvDh/ckFInf0BnYj1IMOmLfAjGUdzjRVwxRMLRebu8qeYLSjiG5ovqplok&#10;lOLlsYcQH4QzJBkNBZxdlpQdPoU4pp5TUi3r7pXW6Ge1tqRv6HK+KPODSwTBtcUaicLYarLisB2m&#10;/reuPSIt/dGipGk9zgacje3Z2HtQuw77yuQzJI4kE5jWJ83873su/PLLrP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oOTtdQAAAAEAQAADwAAAAAAAAABACAAAAAiAAAAZHJzL2Rvd25yZXYueG1s&#10;UEsBAhQAFAAAAAgAh07iQB2RrL7DAQAAegMAAA4AAAAAAAAAAQAgAAAAIwEAAGRycy9lMm9Eb2Mu&#10;eG1sUEsFBgAAAAAGAAYAWQEAAFgFAAAAAA==&#10;">
              <v:fill on="f" focussize="0,0"/>
              <v:stroke on="f" weight="0.5pt"/>
              <v:imagedata o:title=""/>
              <o:lock v:ext="edit" aspectratio="f"/>
              <v:textbox inset="0mm,0mm,0mm,0mm">
                <w:txbxContent>
                  <w:p w14:paraId="4ACA8A4E">
                    <w:pPr>
                      <w:pStyle w:val="7"/>
                      <w:jc w:val="center"/>
                      <w:rPr>
                        <w:sz w:val="28"/>
                        <w:szCs w:val="28"/>
                      </w:rPr>
                    </w:pPr>
                    <w:r>
                      <w:rPr>
                        <w:rFonts w:hint="eastAsia" w:ascii="仿宋_GB2312" w:hAnsi="仿宋_GB2312" w:cs="仿宋_GB2312"/>
                        <w:sz w:val="28"/>
                        <w:szCs w:val="28"/>
                      </w:rPr>
                      <w:t>—</w:t>
                    </w:r>
                    <w:r>
                      <w:rPr>
                        <w:sz w:val="28"/>
                        <w:szCs w:val="28"/>
                      </w:rPr>
                      <w:t xml:space="preserve"> </w:t>
                    </w: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Pr>
                        <w:rFonts w:eastAsia="宋体"/>
                        <w:sz w:val="28"/>
                        <w:szCs w:val="28"/>
                      </w:rPr>
                      <w:t>1</w:t>
                    </w:r>
                    <w:r>
                      <w:rPr>
                        <w:rFonts w:eastAsia="宋体"/>
                        <w:sz w:val="28"/>
                        <w:szCs w:val="28"/>
                      </w:rPr>
                      <w:fldChar w:fldCharType="end"/>
                    </w:r>
                    <w:r>
                      <w:rPr>
                        <w:sz w:val="28"/>
                        <w:szCs w:val="28"/>
                      </w:rPr>
                      <w:t xml:space="preserve"> </w:t>
                    </w:r>
                    <w:r>
                      <w:rPr>
                        <w:rFonts w:hint="eastAsia" w:ascii="仿宋_GB2312" w:hAnsi="仿宋_GB2312" w:cs="仿宋_GB2312"/>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9E140">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8344">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E9774">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373F0">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554C5">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bordersDoNotSurroundHeader w:val="1"/>
  <w:bordersDoNotSurroundFooter w:val="1"/>
  <w:documentProtection w:enforcement="0"/>
  <w:defaultTabStop w:val="0"/>
  <w:hyphenationZone w:val="36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3559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b/>
      <w:bCs/>
      <w:kern w:val="44"/>
      <w:sz w:val="48"/>
      <w:szCs w:val="48"/>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jc w:val="left"/>
    </w:pPr>
  </w:style>
  <w:style w:type="paragraph" w:styleId="4">
    <w:name w:val="Body Text"/>
    <w:basedOn w:val="1"/>
    <w:next w:val="1"/>
    <w:link w:val="21"/>
    <w:qFormat/>
    <w:uiPriority w:val="0"/>
    <w:rPr>
      <w:rFonts w:ascii="Calibri" w:hAnsi="Calibri" w:eastAsia="仿宋" w:cs="宋体"/>
      <w:szCs w:val="24"/>
    </w:rPr>
  </w:style>
  <w:style w:type="paragraph" w:styleId="5">
    <w:name w:val="Body Text Indent 2"/>
    <w:basedOn w:val="1"/>
    <w:qFormat/>
    <w:uiPriority w:val="99"/>
    <w:pPr>
      <w:spacing w:after="120" w:line="480" w:lineRule="auto"/>
      <w:ind w:left="420" w:leftChars="200"/>
    </w:pPr>
  </w:style>
  <w:style w:type="paragraph" w:styleId="6">
    <w:name w:val="Balloon Text"/>
    <w:basedOn w:val="1"/>
    <w:link w:val="22"/>
    <w:qFormat/>
    <w:uiPriority w:val="0"/>
    <w:rPr>
      <w:sz w:val="18"/>
      <w:szCs w:val="18"/>
    </w:rPr>
  </w:style>
  <w:style w:type="paragraph" w:styleId="7">
    <w:name w:val="footer"/>
    <w:basedOn w:val="1"/>
    <w:qFormat/>
    <w:uiPriority w:val="0"/>
    <w:pPr>
      <w:tabs>
        <w:tab w:val="center" w:pos="4153"/>
        <w:tab w:val="right" w:pos="8306"/>
      </w:tabs>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footnote text"/>
    <w:basedOn w:val="1"/>
    <w:next w:val="1"/>
    <w:qFormat/>
    <w:uiPriority w:val="0"/>
    <w:pPr>
      <w:jc w:val="left"/>
    </w:pPr>
    <w:rPr>
      <w:sz w:val="18"/>
    </w:rPr>
  </w:style>
  <w:style w:type="paragraph" w:styleId="10">
    <w:name w:val="Normal (Web)"/>
    <w:basedOn w:val="1"/>
    <w:qFormat/>
    <w:uiPriority w:val="0"/>
    <w:rPr>
      <w:sz w:val="24"/>
      <w:szCs w:val="24"/>
    </w:rPr>
  </w:style>
  <w:style w:type="table" w:styleId="12">
    <w:name w:val="Table Grid"/>
    <w:basedOn w:val="1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footnote reference"/>
    <w:basedOn w:val="13"/>
    <w:qFormat/>
    <w:uiPriority w:val="0"/>
    <w:rPr>
      <w:vertAlign w:val="superscript"/>
    </w:rPr>
  </w:style>
  <w:style w:type="paragraph" w:customStyle="1" w:styleId="17">
    <w:name w:val="_Style 16"/>
    <w:basedOn w:val="1"/>
    <w:qFormat/>
    <w:uiPriority w:val="34"/>
    <w:pPr>
      <w:ind w:firstLine="420"/>
    </w:pPr>
  </w:style>
  <w:style w:type="paragraph" w:customStyle="1" w:styleId="18">
    <w:name w:val="修订1"/>
    <w:unhideWhenUsed/>
    <w:qFormat/>
    <w:uiPriority w:val="99"/>
    <w:rPr>
      <w:rFonts w:ascii="Times New Roman" w:hAnsi="Times New Roman" w:eastAsia="仿宋_GB2312" w:cs="Times New Roman"/>
      <w:kern w:val="2"/>
      <w:sz w:val="32"/>
      <w:szCs w:val="22"/>
      <w:lang w:val="en-US" w:eastAsia="zh-CN" w:bidi="ar-SA"/>
    </w:rPr>
  </w:style>
  <w:style w:type="paragraph" w:customStyle="1" w:styleId="19">
    <w:name w:val="Revision"/>
    <w:semiHidden/>
    <w:qFormat/>
    <w:uiPriority w:val="99"/>
    <w:rPr>
      <w:rFonts w:ascii="Times New Roman" w:hAnsi="Times New Roman" w:eastAsia="仿宋_GB2312" w:cs="Times New Roman"/>
      <w:kern w:val="2"/>
      <w:sz w:val="32"/>
      <w:szCs w:val="22"/>
      <w:lang w:val="en-US" w:eastAsia="zh-CN" w:bidi="ar-SA"/>
    </w:rPr>
  </w:style>
  <w:style w:type="character" w:customStyle="1" w:styleId="20">
    <w:name w:val="批注文字 字符"/>
    <w:basedOn w:val="13"/>
    <w:link w:val="3"/>
    <w:qFormat/>
    <w:uiPriority w:val="99"/>
    <w:rPr>
      <w:rFonts w:eastAsia="仿宋_GB2312"/>
      <w:kern w:val="2"/>
      <w:sz w:val="32"/>
      <w:szCs w:val="22"/>
    </w:rPr>
  </w:style>
  <w:style w:type="character" w:customStyle="1" w:styleId="21">
    <w:name w:val="正文文本 字符"/>
    <w:basedOn w:val="13"/>
    <w:link w:val="4"/>
    <w:qFormat/>
    <w:uiPriority w:val="0"/>
    <w:rPr>
      <w:rFonts w:hint="default" w:ascii="Calibri" w:hAnsi="Calibri" w:cs="宋体"/>
      <w:kern w:val="2"/>
      <w:sz w:val="21"/>
      <w:szCs w:val="24"/>
    </w:rPr>
  </w:style>
  <w:style w:type="character" w:customStyle="1" w:styleId="22">
    <w:name w:val="批注框文本 字符"/>
    <w:basedOn w:val="13"/>
    <w:link w:val="6"/>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1085</Words>
  <Characters>1085</Characters>
  <Lines>137</Lines>
  <Paragraphs>36</Paragraphs>
  <TotalTime>1431655765</TotalTime>
  <ScaleCrop>false</ScaleCrop>
  <LinksUpToDate>false</LinksUpToDate>
  <CharactersWithSpaces>1085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2022-04-12T08:51:00Z</dcterms:created>
  <dc:creator>Dell</dc:creator>
  <cp:lastModifiedBy>海阔天空</cp:lastModifiedBy>
  <cp:lastPrinted>2026-10-10T06:05:00Z</cp:lastPrinted>
  <dcterms:modified xsi:type="dcterms:W3CDTF">2026-10-10T02:34:54Z</dcterms:modified>
  <dc:title>教学函〔2026〕2号</dc:title>
  <cp:revision>1235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0D491D89936048AF97A84189BEC05C63_13</vt:lpwstr>
  </property>
  <property fmtid="{D5CDD505-2E9C-101B-9397-08002B2CF9AE}" pid="4" name="KSOTemplateDocerSaveRecord">
    <vt:lpwstr>eyJoZGlkIjoiNTI0ODM2YWQ0MGI3YTFkOWUxZTczMjE5YTlmMzYyZjQiLCJ1c2VySWQiOiIyMDIyOTkwNjYifQ==</vt:lpwstr>
  </property>
</Properties>
</file>